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3B" w:rsidRDefault="00C129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 Ninian’s High School</w:t>
      </w:r>
    </w:p>
    <w:p w:rsidR="006F2F26" w:rsidRDefault="00C129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Guidance on </w:t>
      </w:r>
      <w:r w:rsidR="00E64AF8">
        <w:rPr>
          <w:b/>
          <w:sz w:val="36"/>
          <w:szCs w:val="36"/>
        </w:rPr>
        <w:t>Admissions procedure for new students</w:t>
      </w:r>
    </w:p>
    <w:p w:rsidR="00C1293B" w:rsidRPr="00C1293B" w:rsidRDefault="00C1293B">
      <w:r w:rsidRPr="00C1293B">
        <w:t>Admissions to the school are overseen by the Deputy Head Teacher</w:t>
      </w:r>
      <w:r>
        <w:t xml:space="preserve"> (DHT) and initial enquiries should be directed to Miss J White.</w:t>
      </w:r>
    </w:p>
    <w:p w:rsidR="006F2F26" w:rsidRDefault="00CD6483">
      <w:pPr>
        <w:rPr>
          <w:b/>
        </w:rPr>
      </w:pPr>
      <w:r>
        <w:rPr>
          <w:b/>
        </w:rPr>
        <w:t>Transition from Key Stage 2 to 3</w:t>
      </w:r>
    </w:p>
    <w:p w:rsidR="00CD6483" w:rsidRDefault="00E64AF8">
      <w:r>
        <w:t xml:space="preserve">When a child intends to come to </w:t>
      </w:r>
      <w:r w:rsidR="00CD6483">
        <w:t>St Ninian’s</w:t>
      </w:r>
      <w:r>
        <w:t xml:space="preserve"> High School as a progression from a feeder primary school, AP3 forms </w:t>
      </w:r>
      <w:r w:rsidR="004401EF">
        <w:t>would normally</w:t>
      </w:r>
      <w:r>
        <w:t xml:space="preserve"> be submitted</w:t>
      </w:r>
      <w:r w:rsidR="00CD6483">
        <w:t xml:space="preserve"> by parents</w:t>
      </w:r>
      <w:r>
        <w:t xml:space="preserve"> </w:t>
      </w:r>
      <w:r w:rsidR="00CD6483">
        <w:t>to the primary school</w:t>
      </w:r>
      <w:r w:rsidR="004401EF">
        <w:t xml:space="preserve"> during the spring term</w:t>
      </w:r>
      <w:r w:rsidR="00CD6483">
        <w:t xml:space="preserve">.  The primary schools may share the information with St Ninian’s but a final list </w:t>
      </w:r>
      <w:r w:rsidR="004401EF">
        <w:t xml:space="preserve">of </w:t>
      </w:r>
      <w:r w:rsidR="00CD6483">
        <w:t xml:space="preserve">expected students will be sent </w:t>
      </w:r>
      <w:r w:rsidR="00C1293B">
        <w:t>to the school</w:t>
      </w:r>
      <w:r w:rsidR="004401EF">
        <w:t xml:space="preserve"> </w:t>
      </w:r>
      <w:r w:rsidR="00CD6483">
        <w:t>by the D</w:t>
      </w:r>
      <w:r w:rsidR="00C1293B">
        <w:t>epartment for Education, Sport and Culture (DESC)</w:t>
      </w:r>
      <w:r w:rsidR="00CD6483">
        <w:t xml:space="preserve"> for checking.  </w:t>
      </w:r>
      <w:r w:rsidR="004401EF">
        <w:t xml:space="preserve">The DHT at Lower School, along with the Transition Coordinator and the Admin team will be responsible for checking this list.  </w:t>
      </w:r>
      <w:r>
        <w:t>All transition work is then carried out in partnership between the</w:t>
      </w:r>
      <w:r w:rsidR="00CD6483">
        <w:t xml:space="preserve"> Transition Co-ordinator</w:t>
      </w:r>
      <w:r w:rsidR="004401EF">
        <w:t>, KS3</w:t>
      </w:r>
      <w:r>
        <w:t xml:space="preserve"> and </w:t>
      </w:r>
      <w:r w:rsidR="00CD6483">
        <w:t>Progress Zone</w:t>
      </w:r>
      <w:r>
        <w:t xml:space="preserve"> teams at </w:t>
      </w:r>
      <w:r w:rsidR="00CD6483">
        <w:t>SNHS</w:t>
      </w:r>
      <w:r>
        <w:t xml:space="preserve"> and the primary school staff. Enquiries from out of the school catchment area will be directed to the Department of Education &amp; Children in the first instance</w:t>
      </w:r>
      <w:r w:rsidR="00CD6483">
        <w:t xml:space="preserve"> and it will be necessary for parents to complete an Out of Catchment application form</w:t>
      </w:r>
      <w:r>
        <w:t>.</w:t>
      </w:r>
      <w:r w:rsidR="00CD6483">
        <w:t xml:space="preserve">  The application form can be found at:  </w:t>
      </w:r>
      <w:hyperlink r:id="rId6" w:history="1">
        <w:r w:rsidR="00C1293B" w:rsidRPr="003931BA">
          <w:rPr>
            <w:rStyle w:val="Hyperlink"/>
          </w:rPr>
          <w:t>https://www.gov.im/categories/education-training-and-careers/enrolling-for-school/out-of-catchment-area-online-application-form/</w:t>
        </w:r>
      </w:hyperlink>
      <w:r w:rsidR="00C1293B">
        <w:t xml:space="preserve"> </w:t>
      </w:r>
    </w:p>
    <w:p w:rsidR="006F2F26" w:rsidRDefault="00E64AF8">
      <w:r>
        <w:t>DE</w:t>
      </w:r>
      <w:r w:rsidR="00CD6483">
        <w:t>S</w:t>
      </w:r>
      <w:r>
        <w:t xml:space="preserve">C will contact the </w:t>
      </w:r>
      <w:r w:rsidR="00C1293B">
        <w:t>DHT</w:t>
      </w:r>
      <w:r>
        <w:t xml:space="preserve"> to </w:t>
      </w:r>
      <w:r w:rsidR="00C1293B">
        <w:t>request feedback from the catchment school and the requested school</w:t>
      </w:r>
      <w:r w:rsidR="00CD6483">
        <w:t xml:space="preserve"> before making a final decision.  Parents have the right to appeal this decision if required.</w:t>
      </w:r>
    </w:p>
    <w:p w:rsidR="006F2F26" w:rsidRDefault="00E64AF8">
      <w:pPr>
        <w:rPr>
          <w:b/>
        </w:rPr>
      </w:pPr>
      <w:r>
        <w:rPr>
          <w:b/>
        </w:rPr>
        <w:t xml:space="preserve">Admission to any year group from outside the </w:t>
      </w:r>
      <w:r w:rsidR="00CD6483">
        <w:rPr>
          <w:b/>
        </w:rPr>
        <w:t>Isle of Man</w:t>
      </w:r>
    </w:p>
    <w:p w:rsidR="006F2F26" w:rsidRDefault="00E64AF8">
      <w:r>
        <w:t>An initial approach must be accompanied by a request in writing to the Head Teacher</w:t>
      </w:r>
      <w:r w:rsidR="00CD6483">
        <w:t>/Deputy Head Teacher</w:t>
      </w:r>
      <w:r w:rsidR="004401EF">
        <w:t xml:space="preserve"> via the Enquiries e-mail address</w:t>
      </w:r>
      <w:r>
        <w:t xml:space="preserve">.  </w:t>
      </w:r>
      <w:r w:rsidR="00C1293B">
        <w:t>The DHT</w:t>
      </w:r>
      <w:r>
        <w:t xml:space="preserve"> will contact immigration services if required, to determine the legal status of the child.  </w:t>
      </w:r>
      <w:r w:rsidR="00C1293B">
        <w:t xml:space="preserve">Copies of passport/birth certificate as well as proof of address will be required.  </w:t>
      </w:r>
      <w:r>
        <w:t>The</w:t>
      </w:r>
      <w:r w:rsidR="00CD6483">
        <w:t xml:space="preserve">re will be a need to </w:t>
      </w:r>
      <w:r>
        <w:t xml:space="preserve">liaise with </w:t>
      </w:r>
      <w:r w:rsidR="00CD6483">
        <w:t>the EAL co-ordinator</w:t>
      </w:r>
      <w:r>
        <w:t xml:space="preserve"> if English is not the first language spoken</w:t>
      </w:r>
      <w:r w:rsidR="00CD6483">
        <w:t xml:space="preserve">.  </w:t>
      </w:r>
      <w:r>
        <w:t xml:space="preserve"> </w:t>
      </w:r>
      <w:r w:rsidR="00CD6483">
        <w:t>T</w:t>
      </w:r>
      <w:r>
        <w:t xml:space="preserve">he child and parents will be invited to the school for interview, the new student information sheet completed by the </w:t>
      </w:r>
      <w:r w:rsidR="00CD6483">
        <w:t>Pastoral Leader or member of SLT conducting the interview</w:t>
      </w:r>
      <w:r>
        <w:t xml:space="preserve">, and the language assessment completed by the </w:t>
      </w:r>
      <w:r w:rsidR="00CD6483">
        <w:t>EAL</w:t>
      </w:r>
      <w:r>
        <w:t xml:space="preserve"> co-ordinator. The results of this will indicate whether the</w:t>
      </w:r>
      <w:r w:rsidR="00C1293B">
        <w:t>re is a need to consult with the central</w:t>
      </w:r>
      <w:r w:rsidR="00CD6483">
        <w:t xml:space="preserve"> </w:t>
      </w:r>
      <w:r>
        <w:t xml:space="preserve">EAL Team.  </w:t>
      </w:r>
      <w:r w:rsidR="00CD6483">
        <w:t>This process</w:t>
      </w:r>
      <w:r>
        <w:t xml:space="preserve"> must be completed before the child is offered a place at the school.</w:t>
      </w:r>
    </w:p>
    <w:p w:rsidR="006F2F26" w:rsidRDefault="00E64AF8">
      <w:pPr>
        <w:rPr>
          <w:b/>
        </w:rPr>
      </w:pPr>
      <w:r>
        <w:rPr>
          <w:b/>
        </w:rPr>
        <w:t>Admission following home schooling</w:t>
      </w:r>
    </w:p>
    <w:p w:rsidR="006F2F26" w:rsidRDefault="00E64AF8">
      <w:r>
        <w:t xml:space="preserve">The Department of Education </w:t>
      </w:r>
      <w:r w:rsidR="00CD6483">
        <w:t>Sport &amp; Culture</w:t>
      </w:r>
      <w:r>
        <w:t xml:space="preserve"> do not hold data on those children who have been home schooled.  It is therefore essential that the </w:t>
      </w:r>
      <w:r w:rsidR="00CD6483">
        <w:t>Pastoral Leader or member of SLT</w:t>
      </w:r>
      <w:r>
        <w:t xml:space="preserve"> gathers as much information from the parents as possible regarding levels of attainment so that they can be placed in the most appropriate sets or option groups.</w:t>
      </w:r>
      <w:r w:rsidR="00CD6483">
        <w:t xml:space="preserve">  </w:t>
      </w:r>
      <w:r w:rsidR="00EE02EF">
        <w:t xml:space="preserve">The student may be required to take part in subject or SEN assessments prior to admission in order to ensure that needs can be met.  </w:t>
      </w:r>
      <w:r w:rsidR="00CD6483">
        <w:t>It will also be necessary for any welfare or safeguarding information to be shared by parents/guardians so that the school is in the best position to be able to support any pupil needs.</w:t>
      </w:r>
    </w:p>
    <w:p w:rsidR="00C1293B" w:rsidRDefault="00C1293B"/>
    <w:p w:rsidR="006F2F26" w:rsidRDefault="00E64AF8">
      <w:pPr>
        <w:rPr>
          <w:b/>
        </w:rPr>
      </w:pPr>
      <w:r>
        <w:rPr>
          <w:b/>
        </w:rPr>
        <w:lastRenderedPageBreak/>
        <w:t>Transfer from another secondary school</w:t>
      </w:r>
      <w:r w:rsidR="00A9726E">
        <w:rPr>
          <w:b/>
        </w:rPr>
        <w:t xml:space="preserve"> (on or off Island) and residing in catchment area</w:t>
      </w:r>
    </w:p>
    <w:p w:rsidR="006F2F26" w:rsidRDefault="00E64AF8">
      <w:r>
        <w:t xml:space="preserve">An initial request is usually received by the </w:t>
      </w:r>
      <w:r w:rsidR="00A9726E">
        <w:t>Enquiries e-mail address or by telephone call to the office on either site</w:t>
      </w:r>
      <w:r>
        <w:t xml:space="preserve">.  </w:t>
      </w:r>
    </w:p>
    <w:p w:rsidR="00A9726E" w:rsidRDefault="00E64AF8">
      <w:r>
        <w:t xml:space="preserve">Information is passed to </w:t>
      </w:r>
      <w:r w:rsidR="00A9726E">
        <w:t>the Deputy Head Teacher with responsibility for the appropriate key stage who will then make contact with the parents/guardians</w:t>
      </w:r>
      <w:r>
        <w:t>.</w:t>
      </w:r>
      <w:r w:rsidR="00A9726E">
        <w:t xml:space="preserve">  It is important to establish that the address is within the catchment area for SNHS and this can be done by checking the IOM Government Maps page (</w:t>
      </w:r>
      <w:hyperlink r:id="rId7" w:history="1">
        <w:r w:rsidR="00A9726E" w:rsidRPr="00B029E9">
          <w:rPr>
            <w:rStyle w:val="Hyperlink"/>
          </w:rPr>
          <w:t>https://www.gov.im/maps</w:t>
        </w:r>
      </w:hyperlink>
      <w:r w:rsidR="00A9726E">
        <w:t xml:space="preserve">)  If the address falls outside the catchment area, parents should be directed to the DESC’s Out of Catchment application process.  </w:t>
      </w:r>
    </w:p>
    <w:p w:rsidR="006F2F26" w:rsidRDefault="00A9726E">
      <w:pPr>
        <w:rPr>
          <w:color w:val="FF0000"/>
        </w:rPr>
      </w:pPr>
      <w:r>
        <w:t>A member of SLT</w:t>
      </w:r>
      <w:r w:rsidR="00C1293B">
        <w:t xml:space="preserve"> or Pastoral teams</w:t>
      </w:r>
      <w:r>
        <w:t xml:space="preserve"> will then arrange to meet with the child and parent/guardians to discuss the reasons for the move and establish key information about the child.</w:t>
      </w:r>
      <w:r w:rsidR="00C1293B">
        <w:t xml:space="preserve">  Information will also be requested from the child’s current school.</w:t>
      </w:r>
    </w:p>
    <w:p w:rsidR="00A9726E" w:rsidRDefault="00E64AF8">
      <w:r>
        <w:t xml:space="preserve">At initial meeting, the ‘New Student Information Sheet’ is completed and copied to </w:t>
      </w:r>
      <w:r w:rsidR="00A9726E">
        <w:t>the relevant Pastoral Leader</w:t>
      </w:r>
      <w:r>
        <w:t xml:space="preserve">.  </w:t>
      </w:r>
      <w:r w:rsidR="00A9726E">
        <w:t>Contact will be made with the original school and information about the pupil will be requested.  It is important that SNHS has an awareness of the following:</w:t>
      </w:r>
    </w:p>
    <w:p w:rsidR="00A9726E" w:rsidRDefault="002745AE" w:rsidP="00EE02EF">
      <w:pPr>
        <w:pStyle w:val="ListParagraph"/>
        <w:numPr>
          <w:ilvl w:val="0"/>
          <w:numId w:val="2"/>
        </w:numPr>
      </w:pPr>
      <w:r>
        <w:t>Attendance</w:t>
      </w:r>
    </w:p>
    <w:p w:rsidR="00A9726E" w:rsidRDefault="00A9726E" w:rsidP="00EE02EF">
      <w:pPr>
        <w:pStyle w:val="ListParagraph"/>
        <w:numPr>
          <w:ilvl w:val="0"/>
          <w:numId w:val="2"/>
        </w:numPr>
      </w:pPr>
      <w:r>
        <w:t>Any additional educational needs/SEN</w:t>
      </w:r>
      <w:r w:rsidR="002745AE">
        <w:t xml:space="preserve"> and support in place</w:t>
      </w:r>
    </w:p>
    <w:p w:rsidR="00A9726E" w:rsidRDefault="00A9726E" w:rsidP="00EE02EF">
      <w:pPr>
        <w:pStyle w:val="ListParagraph"/>
        <w:numPr>
          <w:ilvl w:val="0"/>
          <w:numId w:val="2"/>
        </w:numPr>
      </w:pPr>
      <w:r>
        <w:t>Medical information</w:t>
      </w:r>
    </w:p>
    <w:p w:rsidR="00A9726E" w:rsidRDefault="00A9726E" w:rsidP="00EE02EF">
      <w:pPr>
        <w:pStyle w:val="ListParagraph"/>
        <w:numPr>
          <w:ilvl w:val="0"/>
          <w:numId w:val="2"/>
        </w:numPr>
      </w:pPr>
      <w:r>
        <w:t>Progress (such as predicted grades and setting information)</w:t>
      </w:r>
    </w:p>
    <w:p w:rsidR="00A9726E" w:rsidRDefault="00A9726E" w:rsidP="00EE02EF">
      <w:pPr>
        <w:pStyle w:val="ListParagraph"/>
        <w:numPr>
          <w:ilvl w:val="0"/>
          <w:numId w:val="2"/>
        </w:numPr>
      </w:pPr>
      <w:r>
        <w:t>Safeguarding and welfare concerns</w:t>
      </w:r>
    </w:p>
    <w:p w:rsidR="006F2F26" w:rsidRDefault="00E64AF8" w:rsidP="00EE02EF">
      <w:pPr>
        <w:pStyle w:val="ListParagraph"/>
        <w:numPr>
          <w:ilvl w:val="0"/>
          <w:numId w:val="2"/>
        </w:numPr>
      </w:pPr>
      <w:r>
        <w:t xml:space="preserve">With students in year 9, 10 &amp; 11, it essential to determine whether the school can match GCSE options </w:t>
      </w:r>
      <w:r w:rsidR="002745AE">
        <w:t xml:space="preserve">if </w:t>
      </w:r>
      <w:r>
        <w:t>chosen</w:t>
      </w:r>
      <w:r w:rsidR="002745AE">
        <w:t xml:space="preserve"> at the previous school</w:t>
      </w:r>
      <w:r>
        <w:t>.</w:t>
      </w:r>
    </w:p>
    <w:p w:rsidR="006F2F26" w:rsidRDefault="00E64AF8">
      <w:r>
        <w:t xml:space="preserve">Only when it has been established that </w:t>
      </w:r>
      <w:r w:rsidR="002745AE">
        <w:t>St Ninian’s</w:t>
      </w:r>
      <w:r>
        <w:t xml:space="preserve"> High School is able to meet the needs of the child, is a place offered formally and an admissions pack provided.  </w:t>
      </w:r>
      <w:r w:rsidR="002745AE">
        <w:t>Once admissions paperwork has been completed and returned to school, a</w:t>
      </w:r>
      <w:r>
        <w:t xml:space="preserve"> start date is then established and communicated to parents</w:t>
      </w:r>
      <w:r w:rsidR="00C4190A">
        <w:t xml:space="preserve"> by the Pastoral Leader</w:t>
      </w:r>
      <w:r>
        <w:t>.</w:t>
      </w:r>
    </w:p>
    <w:p w:rsidR="006F2F26" w:rsidRDefault="002745AE">
      <w:r>
        <w:t>The appropriate pastoral leader</w:t>
      </w:r>
      <w:r w:rsidR="00E64AF8">
        <w:t xml:space="preserve"> will place the child in a tutor group (in consultation with D</w:t>
      </w:r>
      <w:r>
        <w:t>HT</w:t>
      </w:r>
      <w:r w:rsidR="00E64AF8">
        <w:t xml:space="preserve"> &amp; </w:t>
      </w:r>
      <w:r>
        <w:t>PZ if necessary</w:t>
      </w:r>
      <w:r w:rsidR="00E64AF8">
        <w:t xml:space="preserve">) and </w:t>
      </w:r>
      <w:r>
        <w:t xml:space="preserve">will ask Subject Leaders to place the child in </w:t>
      </w:r>
      <w:r w:rsidR="00E64AF8">
        <w:t>appropriate set</w:t>
      </w:r>
      <w:r>
        <w:t>s.</w:t>
      </w:r>
      <w:r w:rsidR="00E64AF8">
        <w:t xml:space="preserve">  The new tutor will be informed at this stage.</w:t>
      </w:r>
    </w:p>
    <w:p w:rsidR="006F2F26" w:rsidRDefault="00E64AF8">
      <w:pPr>
        <w:rPr>
          <w:b/>
        </w:rPr>
      </w:pPr>
      <w:r>
        <w:rPr>
          <w:b/>
        </w:rPr>
        <w:t>On the start date</w:t>
      </w:r>
    </w:p>
    <w:p w:rsidR="002745AE" w:rsidRDefault="00E64AF8">
      <w:r>
        <w:t xml:space="preserve">The </w:t>
      </w:r>
      <w:r w:rsidR="002745AE">
        <w:t>Pastoral Leader will have asked the f</w:t>
      </w:r>
      <w:r>
        <w:t xml:space="preserve">orm tutor </w:t>
      </w:r>
      <w:r w:rsidR="002745AE">
        <w:t>to</w:t>
      </w:r>
      <w:r>
        <w:t xml:space="preserve"> arrange an appropriate ‘buddy’ to show the pupil around their classrooms </w:t>
      </w:r>
      <w:r w:rsidR="002745AE">
        <w:t>for the first day or two</w:t>
      </w:r>
      <w:r>
        <w:t xml:space="preserve">.  The buddy will meet the child, along with the </w:t>
      </w:r>
      <w:r w:rsidR="002745AE">
        <w:t>pastoral leader</w:t>
      </w:r>
      <w:r>
        <w:t xml:space="preserve"> in the entrance hall at a pre-arranged time.  The pupil should have a copy of their timetable so that they can locate their classrooms.  </w:t>
      </w:r>
      <w:r w:rsidR="002745AE">
        <w:t>A lunch card will be issued by the office and delivered to the new pupil during their first day.</w:t>
      </w:r>
    </w:p>
    <w:p w:rsidR="006F2F26" w:rsidRDefault="00E64AF8">
      <w:r>
        <w:t>The ‘buddy’ should ensure that they meet the new pupil after lessons and take them to their next lesson/break/lunch as required on the first day.</w:t>
      </w:r>
    </w:p>
    <w:p w:rsidR="006F2F26" w:rsidRDefault="00E64AF8">
      <w:r>
        <w:lastRenderedPageBreak/>
        <w:t xml:space="preserve">Approximately 4 weeks after the start date, the </w:t>
      </w:r>
      <w:r w:rsidR="002745AE">
        <w:t>Pastoral Leader (or delegated to the form tutor)</w:t>
      </w:r>
      <w:r>
        <w:t xml:space="preserve"> should arrange to meet with the parents and pupil to discuss their first few weeks at </w:t>
      </w:r>
      <w:r w:rsidR="002745AE">
        <w:t>St Ninian’s</w:t>
      </w:r>
      <w:r>
        <w:t xml:space="preserve"> High School and address any issues or concerns.  This meeting should be recorded and </w:t>
      </w:r>
      <w:r w:rsidR="002745AE">
        <w:t>logged on the pupil’s</w:t>
      </w:r>
      <w:r>
        <w:t xml:space="preserve"> SIMS records.</w:t>
      </w:r>
    </w:p>
    <w:p w:rsidR="006F2F26" w:rsidRDefault="00E64AF8">
      <w:pPr>
        <w:spacing w:after="0" w:line="240" w:lineRule="auto"/>
        <w:rPr>
          <w:b/>
        </w:rPr>
      </w:pPr>
      <w:r>
        <w:rPr>
          <w:b/>
        </w:rPr>
        <w:t>Admission Pack Contains:</w:t>
      </w:r>
    </w:p>
    <w:p w:rsidR="006F2F26" w:rsidRDefault="00E64AF8">
      <w:pPr>
        <w:spacing w:after="0" w:line="240" w:lineRule="auto"/>
      </w:pPr>
      <w:r>
        <w:t>Admission Form</w:t>
      </w:r>
    </w:p>
    <w:p w:rsidR="006F2F26" w:rsidRDefault="00E64AF8">
      <w:pPr>
        <w:spacing w:after="0" w:line="240" w:lineRule="auto"/>
      </w:pPr>
      <w:r>
        <w:t>Data agreement form</w:t>
      </w:r>
    </w:p>
    <w:p w:rsidR="002745AE" w:rsidRDefault="002745AE">
      <w:pPr>
        <w:spacing w:after="0" w:line="240" w:lineRule="auto"/>
      </w:pPr>
      <w:r>
        <w:t>Parent Pay information</w:t>
      </w:r>
    </w:p>
    <w:p w:rsidR="006F2F26" w:rsidRDefault="002745AE">
      <w:pPr>
        <w:spacing w:after="0" w:line="240" w:lineRule="auto"/>
      </w:pPr>
      <w:r>
        <w:t>School Prospectus</w:t>
      </w:r>
    </w:p>
    <w:p w:rsidR="006F2F26" w:rsidRDefault="006F2F26">
      <w:pPr>
        <w:spacing w:after="0" w:line="240" w:lineRule="auto"/>
      </w:pPr>
    </w:p>
    <w:p w:rsidR="006F2F26" w:rsidRDefault="006F2F26">
      <w:pPr>
        <w:spacing w:after="0" w:line="240" w:lineRule="auto"/>
      </w:pPr>
    </w:p>
    <w:p w:rsidR="006F2F26" w:rsidRDefault="00E64AF8">
      <w:pPr>
        <w:spacing w:after="0" w:line="240" w:lineRule="auto"/>
        <w:jc w:val="center"/>
        <w:rPr>
          <w:b/>
        </w:rPr>
      </w:pPr>
      <w:r>
        <w:rPr>
          <w:b/>
        </w:rPr>
        <w:t>See below for New Student Information Sheet</w:t>
      </w:r>
    </w:p>
    <w:p w:rsidR="006F2F26" w:rsidRDefault="006F2F26">
      <w:pPr>
        <w:spacing w:after="0" w:line="240" w:lineRule="auto"/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C1293B" w:rsidRDefault="00C1293B" w:rsidP="00C4190A">
      <w:pPr>
        <w:jc w:val="center"/>
        <w:rPr>
          <w:b/>
        </w:rPr>
      </w:pPr>
    </w:p>
    <w:p w:rsidR="006F2F26" w:rsidRDefault="00E64AF8" w:rsidP="00C4190A">
      <w:pPr>
        <w:jc w:val="center"/>
        <w:rPr>
          <w:b/>
        </w:rPr>
      </w:pPr>
      <w:r>
        <w:rPr>
          <w:b/>
        </w:rPr>
        <w:lastRenderedPageBreak/>
        <w:t>New Student Information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2745AE" w:rsidTr="00EE02EF">
        <w:tc>
          <w:tcPr>
            <w:tcW w:w="4621" w:type="dxa"/>
          </w:tcPr>
          <w:p w:rsidR="002745AE" w:rsidRDefault="002745AE" w:rsidP="00EE02EF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4621" w:type="dxa"/>
          </w:tcPr>
          <w:p w:rsidR="002745AE" w:rsidRDefault="002745AE" w:rsidP="00EE02EF">
            <w:pPr>
              <w:rPr>
                <w:b/>
              </w:rPr>
            </w:pPr>
            <w:proofErr w:type="spellStart"/>
            <w:r>
              <w:rPr>
                <w:b/>
              </w:rPr>
              <w:t>DoB</w:t>
            </w:r>
            <w:proofErr w:type="spellEnd"/>
            <w:r>
              <w:rPr>
                <w:b/>
              </w:rPr>
              <w:t>:</w:t>
            </w:r>
          </w:p>
        </w:tc>
      </w:tr>
      <w:tr w:rsidR="002745AE" w:rsidTr="00EE02EF">
        <w:tc>
          <w:tcPr>
            <w:tcW w:w="4621" w:type="dxa"/>
          </w:tcPr>
          <w:p w:rsidR="002745AE" w:rsidRDefault="002745AE" w:rsidP="00EE02EF">
            <w:pPr>
              <w:rPr>
                <w:b/>
              </w:rPr>
            </w:pPr>
            <w:r>
              <w:rPr>
                <w:b/>
              </w:rPr>
              <w:t>Previous School Attended:</w:t>
            </w:r>
          </w:p>
          <w:p w:rsidR="00C1293B" w:rsidRDefault="00C1293B" w:rsidP="00EE02EF">
            <w:pPr>
              <w:rPr>
                <w:b/>
              </w:rPr>
            </w:pPr>
          </w:p>
        </w:tc>
        <w:tc>
          <w:tcPr>
            <w:tcW w:w="4621" w:type="dxa"/>
          </w:tcPr>
          <w:p w:rsidR="002745AE" w:rsidRDefault="002745AE" w:rsidP="00EE02EF">
            <w:pPr>
              <w:rPr>
                <w:b/>
              </w:rPr>
            </w:pPr>
            <w:r>
              <w:rPr>
                <w:b/>
              </w:rPr>
              <w:t>Previous School contact details:</w:t>
            </w:r>
          </w:p>
        </w:tc>
      </w:tr>
      <w:tr w:rsidR="00221451" w:rsidTr="006B00EF">
        <w:tc>
          <w:tcPr>
            <w:tcW w:w="9242" w:type="dxa"/>
            <w:gridSpan w:val="2"/>
          </w:tcPr>
          <w:p w:rsidR="00221451" w:rsidRDefault="00221451" w:rsidP="00EE02EF">
            <w:pPr>
              <w:rPr>
                <w:b/>
              </w:rPr>
            </w:pPr>
            <w:r>
              <w:rPr>
                <w:b/>
              </w:rPr>
              <w:t>EAL needs:             Yes                No</w:t>
            </w:r>
          </w:p>
        </w:tc>
      </w:tr>
      <w:tr w:rsidR="00221451" w:rsidTr="00571481">
        <w:tc>
          <w:tcPr>
            <w:tcW w:w="9242" w:type="dxa"/>
            <w:gridSpan w:val="2"/>
          </w:tcPr>
          <w:p w:rsidR="00221451" w:rsidRDefault="00221451" w:rsidP="00221451">
            <w:pPr>
              <w:rPr>
                <w:b/>
              </w:rPr>
            </w:pPr>
            <w:r>
              <w:rPr>
                <w:b/>
              </w:rPr>
              <w:t>Current Academic information (Levels/Predicted Grades/Sets/Options):</w:t>
            </w:r>
          </w:p>
          <w:p w:rsidR="00221451" w:rsidRDefault="00221451" w:rsidP="00221451">
            <w:pPr>
              <w:rPr>
                <w:b/>
              </w:rPr>
            </w:pPr>
          </w:p>
          <w:p w:rsidR="00221451" w:rsidRDefault="00221451" w:rsidP="00221451">
            <w:pPr>
              <w:rPr>
                <w:b/>
              </w:rPr>
            </w:pPr>
          </w:p>
          <w:p w:rsidR="00221451" w:rsidRDefault="00221451" w:rsidP="00221451">
            <w:pPr>
              <w:rPr>
                <w:b/>
              </w:rPr>
            </w:pPr>
          </w:p>
        </w:tc>
      </w:tr>
      <w:tr w:rsidR="002745AE" w:rsidTr="00EE02EF">
        <w:tc>
          <w:tcPr>
            <w:tcW w:w="4621" w:type="dxa"/>
          </w:tcPr>
          <w:p w:rsidR="002745AE" w:rsidRDefault="00221451" w:rsidP="00221451">
            <w:pPr>
              <w:rPr>
                <w:b/>
              </w:rPr>
            </w:pPr>
            <w:r>
              <w:rPr>
                <w:b/>
              </w:rPr>
              <w:t>SEN needs:              Yes                No</w:t>
            </w:r>
          </w:p>
          <w:p w:rsidR="00221451" w:rsidRDefault="00221451" w:rsidP="00221451">
            <w:pPr>
              <w:rPr>
                <w:b/>
              </w:rPr>
            </w:pPr>
            <w:r>
              <w:rPr>
                <w:b/>
              </w:rPr>
              <w:t>Details:</w:t>
            </w:r>
          </w:p>
        </w:tc>
        <w:tc>
          <w:tcPr>
            <w:tcW w:w="4621" w:type="dxa"/>
          </w:tcPr>
          <w:p w:rsidR="002745AE" w:rsidRDefault="00221451" w:rsidP="00221451">
            <w:pPr>
              <w:rPr>
                <w:b/>
              </w:rPr>
            </w:pPr>
            <w:r>
              <w:rPr>
                <w:b/>
              </w:rPr>
              <w:t>SEN Stage and COLI area of Need:</w:t>
            </w:r>
          </w:p>
          <w:p w:rsidR="00221451" w:rsidRDefault="00221451" w:rsidP="00221451">
            <w:pPr>
              <w:rPr>
                <w:b/>
              </w:rPr>
            </w:pPr>
            <w:proofErr w:type="spellStart"/>
            <w:r>
              <w:rPr>
                <w:b/>
              </w:rPr>
              <w:t>RoC</w:t>
            </w:r>
            <w:proofErr w:type="spellEnd"/>
            <w:r>
              <w:rPr>
                <w:b/>
              </w:rPr>
              <w:t xml:space="preserve">       Additional     </w:t>
            </w:r>
            <w:proofErr w:type="spellStart"/>
            <w:r>
              <w:rPr>
                <w:b/>
              </w:rPr>
              <w:t>Additional</w:t>
            </w:r>
            <w:proofErr w:type="spellEnd"/>
            <w:r>
              <w:rPr>
                <w:b/>
              </w:rPr>
              <w:t xml:space="preserve"> Plus      CLN</w:t>
            </w:r>
          </w:p>
          <w:p w:rsidR="00221451" w:rsidRDefault="00221451" w:rsidP="00221451">
            <w:pPr>
              <w:rPr>
                <w:b/>
              </w:rPr>
            </w:pPr>
            <w:r>
              <w:rPr>
                <w:b/>
              </w:rPr>
              <w:t>C &amp; L            PWB           C &amp; I          S, M &amp; P</w:t>
            </w:r>
          </w:p>
        </w:tc>
      </w:tr>
      <w:tr w:rsidR="002745AE" w:rsidTr="00EE02EF">
        <w:tc>
          <w:tcPr>
            <w:tcW w:w="4621" w:type="dxa"/>
          </w:tcPr>
          <w:p w:rsidR="002745AE" w:rsidRDefault="00221451" w:rsidP="00221451">
            <w:pPr>
              <w:rPr>
                <w:b/>
              </w:rPr>
            </w:pPr>
            <w:r>
              <w:rPr>
                <w:b/>
              </w:rPr>
              <w:t>Safeguarding          Yes                No</w:t>
            </w:r>
          </w:p>
        </w:tc>
        <w:tc>
          <w:tcPr>
            <w:tcW w:w="4621" w:type="dxa"/>
          </w:tcPr>
          <w:p w:rsidR="002745AE" w:rsidRDefault="002745AE" w:rsidP="002745AE">
            <w:pPr>
              <w:jc w:val="center"/>
              <w:rPr>
                <w:b/>
              </w:rPr>
            </w:pPr>
          </w:p>
        </w:tc>
      </w:tr>
      <w:tr w:rsidR="00221451" w:rsidTr="008060F9">
        <w:tc>
          <w:tcPr>
            <w:tcW w:w="9242" w:type="dxa"/>
            <w:gridSpan w:val="2"/>
          </w:tcPr>
          <w:p w:rsidR="00221451" w:rsidRDefault="00221451" w:rsidP="00221451">
            <w:pPr>
              <w:rPr>
                <w:b/>
              </w:rPr>
            </w:pPr>
            <w:r>
              <w:rPr>
                <w:b/>
              </w:rPr>
              <w:t>Contact with Agencies:</w:t>
            </w:r>
          </w:p>
          <w:p w:rsidR="00221451" w:rsidRDefault="00221451" w:rsidP="00221451">
            <w:pPr>
              <w:rPr>
                <w:b/>
              </w:rPr>
            </w:pPr>
            <w:r>
              <w:rPr>
                <w:b/>
              </w:rPr>
              <w:t>Listening Service                         YES               NO</w:t>
            </w:r>
          </w:p>
          <w:p w:rsidR="00221451" w:rsidRDefault="00221451" w:rsidP="00221451">
            <w:pPr>
              <w:rPr>
                <w:b/>
              </w:rPr>
            </w:pPr>
            <w:r>
              <w:rPr>
                <w:b/>
              </w:rPr>
              <w:t>CAMHS                                          YES               NO</w:t>
            </w:r>
          </w:p>
          <w:p w:rsidR="00221451" w:rsidRDefault="00221451" w:rsidP="00221451">
            <w:pPr>
              <w:rPr>
                <w:b/>
              </w:rPr>
            </w:pPr>
            <w:r>
              <w:rPr>
                <w:b/>
              </w:rPr>
              <w:t>Social Services                             YES               NO</w:t>
            </w:r>
          </w:p>
          <w:p w:rsidR="00221451" w:rsidRDefault="00221451" w:rsidP="00221451">
            <w:pPr>
              <w:rPr>
                <w:b/>
              </w:rPr>
            </w:pPr>
            <w:r>
              <w:rPr>
                <w:b/>
              </w:rPr>
              <w:t>Education Welfare Officer        YES               NO</w:t>
            </w:r>
          </w:p>
          <w:p w:rsidR="00221451" w:rsidRDefault="00221451" w:rsidP="00221451">
            <w:pPr>
              <w:rPr>
                <w:b/>
              </w:rPr>
            </w:pPr>
            <w:r>
              <w:rPr>
                <w:b/>
              </w:rPr>
              <w:t>Youth Justice/Police/PEAT       YES               NO</w:t>
            </w:r>
          </w:p>
          <w:p w:rsidR="00221451" w:rsidRDefault="00221451" w:rsidP="00221451">
            <w:pPr>
              <w:rPr>
                <w:b/>
              </w:rPr>
            </w:pPr>
            <w:r>
              <w:rPr>
                <w:b/>
              </w:rPr>
              <w:t>Educational Psychologist          YES               NO</w:t>
            </w:r>
          </w:p>
          <w:p w:rsidR="00221451" w:rsidRDefault="00221451" w:rsidP="00221451">
            <w:pPr>
              <w:rPr>
                <w:b/>
              </w:rPr>
            </w:pPr>
            <w:r>
              <w:rPr>
                <w:b/>
              </w:rPr>
              <w:t xml:space="preserve">Other (please state)  </w:t>
            </w:r>
            <w:r w:rsidR="004401EF">
              <w:rPr>
                <w:b/>
              </w:rPr>
              <w:t xml:space="preserve">                 </w:t>
            </w:r>
            <w:r>
              <w:rPr>
                <w:b/>
              </w:rPr>
              <w:t>YES               NO</w:t>
            </w:r>
          </w:p>
        </w:tc>
      </w:tr>
      <w:tr w:rsidR="004401EF" w:rsidTr="003571E2">
        <w:tc>
          <w:tcPr>
            <w:tcW w:w="9242" w:type="dxa"/>
            <w:gridSpan w:val="2"/>
          </w:tcPr>
          <w:p w:rsidR="004401EF" w:rsidRDefault="004401EF" w:rsidP="004401EF">
            <w:pPr>
              <w:rPr>
                <w:b/>
              </w:rPr>
            </w:pPr>
            <w:r>
              <w:rPr>
                <w:b/>
              </w:rPr>
              <w:t>Any other relevant information:</w:t>
            </w:r>
          </w:p>
          <w:p w:rsidR="004401EF" w:rsidRDefault="004401EF" w:rsidP="004401EF">
            <w:pPr>
              <w:rPr>
                <w:b/>
              </w:rPr>
            </w:pPr>
          </w:p>
          <w:p w:rsidR="004401EF" w:rsidRDefault="004401EF" w:rsidP="004401EF">
            <w:pPr>
              <w:rPr>
                <w:b/>
              </w:rPr>
            </w:pPr>
            <w:bookmarkStart w:id="0" w:name="_GoBack"/>
            <w:bookmarkEnd w:id="0"/>
          </w:p>
          <w:p w:rsidR="004401EF" w:rsidRDefault="004401EF" w:rsidP="004401EF">
            <w:pPr>
              <w:rPr>
                <w:b/>
              </w:rPr>
            </w:pPr>
          </w:p>
        </w:tc>
      </w:tr>
    </w:tbl>
    <w:p w:rsidR="002745AE" w:rsidRDefault="002745AE"/>
    <w:p w:rsidR="002745AE" w:rsidRDefault="002745AE" w:rsidP="004401EF">
      <w:pPr>
        <w:jc w:val="center"/>
      </w:pPr>
      <w:r>
        <w:t>This form should be shared with the Pastoral Team and Subject Leaders before being added to the pupil’s SIMs records as a linked document.</w:t>
      </w:r>
    </w:p>
    <w:sectPr w:rsidR="00274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D4C0C"/>
    <w:multiLevelType w:val="hybridMultilevel"/>
    <w:tmpl w:val="6E6C8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C12B0"/>
    <w:multiLevelType w:val="hybridMultilevel"/>
    <w:tmpl w:val="49DE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26"/>
    <w:rsid w:val="00221451"/>
    <w:rsid w:val="002745AE"/>
    <w:rsid w:val="004401EF"/>
    <w:rsid w:val="006F2F26"/>
    <w:rsid w:val="00A9726E"/>
    <w:rsid w:val="00C1293B"/>
    <w:rsid w:val="00C4190A"/>
    <w:rsid w:val="00CD6483"/>
    <w:rsid w:val="00E64AF8"/>
    <w:rsid w:val="00EA0414"/>
    <w:rsid w:val="00E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E543A"/>
  <w15:docId w15:val="{44B9FAB9-B914-4505-8CF1-090F482F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26E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27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im/ma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im/categories/education-training-and-careers/enrolling-for-school/out-of-catchment-area-online-application-fo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3850-75D0-4C67-A56B-9CDDE746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procedure for new students</vt:lpstr>
    </vt:vector>
  </TitlesOfParts>
  <Company>Department of Education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procedure for new students</dc:title>
  <dc:creator>JWhite</dc:creator>
  <cp:lastModifiedBy>Joanne White</cp:lastModifiedBy>
  <cp:revision>5</cp:revision>
  <cp:lastPrinted>2021-02-25T09:27:00Z</cp:lastPrinted>
  <dcterms:created xsi:type="dcterms:W3CDTF">2020-09-13T13:46:00Z</dcterms:created>
  <dcterms:modified xsi:type="dcterms:W3CDTF">2024-04-16T17:31:00Z</dcterms:modified>
</cp:coreProperties>
</file>