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udornwmv261q" w:id="0"/>
      <w:bookmarkEnd w:id="0"/>
      <w:r w:rsidDel="00000000" w:rsidR="00000000" w:rsidRPr="00000000">
        <w:rPr>
          <w:rtl w:val="0"/>
        </w:rPr>
        <w:t xml:space="preserve">Digital Applications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8w2c9eyyiiy6"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EDEXCEL Certificate in Digital Applications </w:t>
              <w:tab/>
            </w:r>
            <w:r w:rsidDel="00000000" w:rsidR="00000000" w:rsidRPr="00000000">
              <w:rPr>
                <w:rFonts w:ascii="Ubuntu" w:cs="Ubuntu" w:eastAsia="Ubuntu" w:hAnsi="Ubuntu"/>
                <w:sz w:val="20"/>
                <w:szCs w:val="20"/>
                <w:rtl w:val="0"/>
              </w:rPr>
              <w:t xml:space="preserve">600/6627/1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yrqml393wppd"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The Edexcel Certificate in Digital Applications has been designed to engage and enthuse young people with an interest in creative computing, for example digital graphics and animations, interactive multimedia products and computer games. Students will have the opportunity to develop their expertise using the Adobe creative suite of Photoshop, Illustrator and Dreamweaver.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9o4kx46ff94"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equip young people with the knowledge, understanding and skills they need to design and make, effective digital products for others to use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enable young people to use digital tools as a means of expression to inform, persuade and entertain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foster young people’s creativity and develop their independent learning skills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challenge young people to reflect on what they produce and strive for excellence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increase young people’s awareness of their responsibilities in the digital world and their respect of other people’s rights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equip young people with professional, real-world skills in planning, project management and communication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give young people the knowledge, understanding and skills they need to support future learning and exploit the creative digital industries.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zctq1oqjevi5" w:id="5"/>
            <w:bookmarkEnd w:id="5"/>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Coursework unit: 75% of final GCSE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Examination: 2 hour 30 minute practical examination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Ubuntu" w:cs="Ubuntu" w:eastAsia="Ubuntu" w:hAnsi="Ubuntu"/>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tg5o0dkuy69" w:id="6"/>
            <w:bookmarkEnd w:id="6"/>
            <w:r w:rsidDel="00000000" w:rsidR="00000000" w:rsidRPr="00000000">
              <w:rPr>
                <w:rtl w:val="0"/>
              </w:rPr>
              <w:t xml:space="preserve">To be successful:</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 curious: Students explore, ask questions and problem solve.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Show commitment: Students show focus when engaged in activities.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Persistence: Students engage with an activity until they are satisfied with their progress.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Reflective:  Students can reflect on their own learning, respond and take action after receiving feedback.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Independent: Successful students will be able to think through, act and find solutions to problems for themselves.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Resilient: Students need to keep motivating and challenging themselves to improve.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aimeynniiczz"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This qualification provides a broad and solid foundation for further study of various aspects of creative computing, such as graphic design, web design, computer games design and interactive media.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It supports progress to further study, including: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Arial Unicode MS" w:cs="Arial Unicode MS" w:eastAsia="Arial Unicode MS" w:hAnsi="Arial Unicode MS"/>
                <w:rtl w:val="0"/>
              </w:rPr>
              <w:tab/>
              <w:tab/>
              <w:t xml:space="preserve">●  GCE in Media: Communication and Production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Arial Unicode MS" w:cs="Arial Unicode MS" w:eastAsia="Arial Unicode MS" w:hAnsi="Arial Unicode MS"/>
                <w:rtl w:val="0"/>
              </w:rPr>
              <w:tab/>
              <w:tab/>
              <w:t xml:space="preserve">●  Level 3 BTECs in Creative Media Production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Arial Unicode MS" w:cs="Arial Unicode MS" w:eastAsia="Arial Unicode MS" w:hAnsi="Arial Unicode MS"/>
                <w:rtl w:val="0"/>
              </w:rPr>
              <w:tab/>
              <w:tab/>
              <w:t xml:space="preserve">●  Level 3 BTECs in IT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Arial Unicode MS" w:cs="Arial Unicode MS" w:eastAsia="Arial Unicode MS" w:hAnsi="Arial Unicode MS"/>
                <w:rtl w:val="0"/>
              </w:rPr>
              <w:tab/>
              <w:tab/>
              <w:t xml:space="preserve">●  Level 3 Principal Learning in Creative and Media.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It also enhances young people’s overall digital literacy and gives them a solid foundation for further study and employment.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adv330iyaryi" w:id="8"/>
            <w:bookmarkEnd w:id="8"/>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Speak with Mr J Hunter , Mr J  Cretney, Mr A Runciman or Mrs C Aldridge.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Alternatively visit: </w:t>
            </w:r>
            <w:hyperlink r:id="rId6">
              <w:r w:rsidDel="00000000" w:rsidR="00000000" w:rsidRPr="00000000">
                <w:rPr>
                  <w:rFonts w:ascii="Ubuntu" w:cs="Ubuntu" w:eastAsia="Ubuntu" w:hAnsi="Ubuntu"/>
                  <w:color w:val="1155cc"/>
                  <w:u w:val="single"/>
                  <w:rtl w:val="0"/>
                </w:rPr>
                <w:t xml:space="preserve">http://qualifications.pearson.com/en/qualifications/digital-applications-cida-dida.html</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qualifications.pearson.com/en/qualifications/digital-applications-cida-dida.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