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ind w:left="32.39999999999995" w:firstLine="0"/>
        <w:contextualSpacing w:val="0"/>
        <w:rPr/>
      </w:pPr>
      <w:bookmarkStart w:colFirst="0" w:colLast="0" w:name="_ufj7diamqq6g" w:id="0"/>
      <w:bookmarkEnd w:id="0"/>
      <w:r w:rsidDel="00000000" w:rsidR="00000000" w:rsidRPr="00000000">
        <w:rPr>
          <w:rtl w:val="0"/>
        </w:rPr>
        <w:t xml:space="preserve">History</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ind w:left="32.39999999999995" w:firstLine="0"/>
        <w:contextualSpacing w:val="0"/>
        <w:rPr/>
      </w:pPr>
      <w:bookmarkStart w:colFirst="0" w:colLast="0" w:name="_3fhp4y9jrj00" w:id="1"/>
      <w:bookmarkEnd w:id="1"/>
      <w:r w:rsidDel="00000000" w:rsidR="00000000" w:rsidRPr="00000000">
        <w:rPr>
          <w:rtl w:val="0"/>
        </w:rPr>
        <w:t xml:space="preserve">Class of 2018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tbl>
      <w:tblPr>
        <w:tblStyle w:val="Table1"/>
        <w:tblW w:w="106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05"/>
        <w:tblGridChange w:id="0">
          <w:tblGrid>
            <w:gridCol w:w="1060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pPr>
            <w:bookmarkStart w:colFirst="0" w:colLast="0" w:name="_yl9kjn3ztd19" w:id="2"/>
            <w:bookmarkEnd w:id="2"/>
            <w:r w:rsidDel="00000000" w:rsidR="00000000" w:rsidRPr="00000000">
              <w:rPr>
                <w:rtl w:val="0"/>
              </w:rPr>
              <w:t xml:space="preserve">Exam board information: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color w:val="001e57"/>
              </w:rPr>
            </w:pPr>
            <w:r w:rsidDel="00000000" w:rsidR="00000000" w:rsidRPr="00000000">
              <w:rPr>
                <w:rFonts w:ascii="Ubuntu" w:cs="Ubuntu" w:eastAsia="Ubuntu" w:hAnsi="Ubuntu"/>
                <w:color w:val="001e57"/>
                <w:rtl w:val="0"/>
              </w:rPr>
              <w:t xml:space="preserve">Cambridge IGCSE History (0470)</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color w:val="001e57"/>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tbl>
      <w:tblPr>
        <w:tblStyle w:val="Table2"/>
        <w:tblW w:w="106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20"/>
        <w:tblGridChange w:id="0">
          <w:tblGrid>
            <w:gridCol w:w="10620"/>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pPr>
            <w:bookmarkStart w:colFirst="0" w:colLast="0" w:name="_ppe7qb84sa6f" w:id="3"/>
            <w:bookmarkEnd w:id="3"/>
            <w:r w:rsidDel="00000000" w:rsidR="00000000" w:rsidRPr="00000000">
              <w:rPr>
                <w:rtl w:val="0"/>
              </w:rPr>
              <w:t xml:space="preserve">Course content: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39999999999995" w:right="0" w:firstLine="0"/>
              <w:contextualSpacing w:val="0"/>
              <w:jc w:val="left"/>
              <w:rPr>
                <w:rFonts w:ascii="Ubuntu" w:cs="Ubuntu" w:eastAsia="Ubuntu" w:hAnsi="Ubuntu"/>
              </w:rPr>
            </w:pPr>
            <w:r w:rsidDel="00000000" w:rsidR="00000000" w:rsidRPr="00000000">
              <w:rPr>
                <w:rFonts w:ascii="Ubuntu" w:cs="Ubuntu" w:eastAsia="Ubuntu" w:hAnsi="Ubuntu"/>
                <w:rtl w:val="0"/>
              </w:rPr>
              <w:t xml:space="preserve">The GCSE History course students will follow at St Ninian’s High School covers two modules, a breadth study of the 20th century ‘International Relations since 1919’ and a depth study of ‘Germany 1918-1945’. The breadth study is designed to give students a broad overview and understanding of a longer Historical time period, while the depth study will give students a more focused and detailed knowledge of a 30 year period in history. These modules combine to enable students to develop a full complement of History skills which they can take forward and apply to a wide variety of situations in the future.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39999999999995" w:right="0" w:firstLine="0"/>
              <w:contextualSpacing w:val="0"/>
              <w:jc w:val="left"/>
              <w:rPr>
                <w:rFonts w:ascii="Ubuntu" w:cs="Ubuntu" w:eastAsia="Ubuntu" w:hAnsi="Ubuntu"/>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39999999999995" w:right="0" w:firstLine="0"/>
              <w:contextualSpacing w:val="0"/>
              <w:jc w:val="left"/>
              <w:rPr>
                <w:rFonts w:ascii="Ubuntu" w:cs="Ubuntu" w:eastAsia="Ubuntu" w:hAnsi="Ubuntu"/>
                <w:b w:val="1"/>
                <w:u w:val="single"/>
              </w:rPr>
            </w:pPr>
            <w:r w:rsidDel="00000000" w:rsidR="00000000" w:rsidRPr="00000000">
              <w:rPr>
                <w:rFonts w:ascii="Ubuntu" w:cs="Ubuntu" w:eastAsia="Ubuntu" w:hAnsi="Ubuntu"/>
                <w:b w:val="1"/>
                <w:u w:val="single"/>
                <w:rtl w:val="0"/>
              </w:rPr>
              <w:t xml:space="preserve">International Relations since 1919</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39999999999995" w:right="0" w:firstLine="0"/>
              <w:contextualSpacing w:val="0"/>
              <w:jc w:val="left"/>
              <w:rPr>
                <w:rFonts w:ascii="Ubuntu" w:cs="Ubuntu" w:eastAsia="Ubuntu" w:hAnsi="Ubuntu"/>
              </w:rPr>
            </w:pPr>
            <w:r w:rsidDel="00000000" w:rsidR="00000000" w:rsidRPr="00000000">
              <w:rPr>
                <w:rFonts w:ascii="Ubuntu" w:cs="Ubuntu" w:eastAsia="Ubuntu" w:hAnsi="Ubuntu"/>
                <w:rtl w:val="0"/>
              </w:rPr>
              <w:t xml:space="preserve">What was the League of Nations and did it do any good?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39999999999995" w:right="0" w:firstLine="0"/>
              <w:contextualSpacing w:val="0"/>
              <w:jc w:val="left"/>
              <w:rPr>
                <w:rFonts w:ascii="Ubuntu" w:cs="Ubuntu" w:eastAsia="Ubuntu" w:hAnsi="Ubuntu"/>
              </w:rPr>
            </w:pPr>
            <w:r w:rsidDel="00000000" w:rsidR="00000000" w:rsidRPr="00000000">
              <w:rPr>
                <w:rFonts w:ascii="Ubuntu" w:cs="Ubuntu" w:eastAsia="Ubuntu" w:hAnsi="Ubuntu"/>
                <w:rtl w:val="0"/>
              </w:rPr>
              <w:t xml:space="preserve">Why did WWII break out?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39999999999995" w:right="0" w:firstLine="0"/>
              <w:contextualSpacing w:val="0"/>
              <w:jc w:val="left"/>
              <w:rPr>
                <w:rFonts w:ascii="Ubuntu" w:cs="Ubuntu" w:eastAsia="Ubuntu" w:hAnsi="Ubuntu"/>
              </w:rPr>
            </w:pPr>
            <w:r w:rsidDel="00000000" w:rsidR="00000000" w:rsidRPr="00000000">
              <w:rPr>
                <w:rFonts w:ascii="Ubuntu" w:cs="Ubuntu" w:eastAsia="Ubuntu" w:hAnsi="Ubuntu"/>
                <w:rtl w:val="0"/>
              </w:rPr>
              <w:t xml:space="preserve">Who was to blame for the cold war?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39999999999995" w:right="0" w:firstLine="0"/>
              <w:contextualSpacing w:val="0"/>
              <w:jc w:val="left"/>
              <w:rPr>
                <w:rFonts w:ascii="Ubuntu" w:cs="Ubuntu" w:eastAsia="Ubuntu" w:hAnsi="Ubuntu"/>
              </w:rPr>
            </w:pPr>
            <w:r w:rsidDel="00000000" w:rsidR="00000000" w:rsidRPr="00000000">
              <w:rPr>
                <w:rFonts w:ascii="Ubuntu" w:cs="Ubuntu" w:eastAsia="Ubuntu" w:hAnsi="Ubuntu"/>
                <w:rtl w:val="0"/>
              </w:rPr>
              <w:t xml:space="preserve">Did the USA contain the spread of Communism?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39999999999995" w:right="0" w:firstLine="0"/>
              <w:contextualSpacing w:val="0"/>
              <w:jc w:val="left"/>
              <w:rPr>
                <w:rFonts w:ascii="Ubuntu" w:cs="Ubuntu" w:eastAsia="Ubuntu" w:hAnsi="Ubuntu"/>
              </w:rPr>
            </w:pPr>
            <w:r w:rsidDel="00000000" w:rsidR="00000000" w:rsidRPr="00000000">
              <w:rPr>
                <w:rFonts w:ascii="Ubuntu" w:cs="Ubuntu" w:eastAsia="Ubuntu" w:hAnsi="Ubuntu"/>
                <w:rtl w:val="0"/>
              </w:rPr>
              <w:t xml:space="preserve">How much did the USSR control Eastern Europe 1948-1989?</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39999999999995" w:right="0" w:firstLine="0"/>
              <w:contextualSpacing w:val="0"/>
              <w:jc w:val="left"/>
              <w:rPr>
                <w:rFonts w:ascii="Ubuntu" w:cs="Ubuntu" w:eastAsia="Ubuntu" w:hAnsi="Ubuntu"/>
              </w:rPr>
            </w:pPr>
            <w:r w:rsidDel="00000000" w:rsidR="00000000" w:rsidRPr="00000000">
              <w:rPr>
                <w:rFonts w:ascii="Ubuntu" w:cs="Ubuntu" w:eastAsia="Ubuntu" w:hAnsi="Ubuntu"/>
                <w:rtl w:val="0"/>
              </w:rPr>
              <w:t xml:space="preserve">What happened in the Gulf and why did it matter 1970-2000?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39999999999995" w:right="0" w:firstLine="0"/>
              <w:contextualSpacing w:val="0"/>
              <w:jc w:val="left"/>
              <w:rPr>
                <w:rFonts w:ascii="Ubuntu" w:cs="Ubuntu" w:eastAsia="Ubuntu" w:hAnsi="Ubuntu"/>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39999999999995" w:right="0" w:firstLine="0"/>
              <w:contextualSpacing w:val="0"/>
              <w:jc w:val="left"/>
              <w:rPr>
                <w:rFonts w:ascii="Ubuntu" w:cs="Ubuntu" w:eastAsia="Ubuntu" w:hAnsi="Ubuntu"/>
                <w:b w:val="1"/>
                <w:u w:val="single"/>
              </w:rPr>
            </w:pPr>
            <w:r w:rsidDel="00000000" w:rsidR="00000000" w:rsidRPr="00000000">
              <w:rPr>
                <w:rFonts w:ascii="Ubuntu" w:cs="Ubuntu" w:eastAsia="Ubuntu" w:hAnsi="Ubuntu"/>
                <w:b w:val="1"/>
                <w:u w:val="single"/>
                <w:rtl w:val="0"/>
              </w:rPr>
              <w:t xml:space="preserve">Germany 1918-1945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39999999999995" w:right="0" w:firstLine="0"/>
              <w:contextualSpacing w:val="0"/>
              <w:jc w:val="left"/>
              <w:rPr>
                <w:rFonts w:ascii="Ubuntu" w:cs="Ubuntu" w:eastAsia="Ubuntu" w:hAnsi="Ubuntu"/>
              </w:rPr>
            </w:pPr>
            <w:r w:rsidDel="00000000" w:rsidR="00000000" w:rsidRPr="00000000">
              <w:rPr>
                <w:rFonts w:ascii="Ubuntu" w:cs="Ubuntu" w:eastAsia="Ubuntu" w:hAnsi="Ubuntu"/>
                <w:rtl w:val="0"/>
              </w:rPr>
              <w:t xml:space="preserve">Was the Weimar Republic doomed from the start?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39999999999995" w:right="0" w:firstLine="0"/>
              <w:contextualSpacing w:val="0"/>
              <w:jc w:val="left"/>
              <w:rPr>
                <w:rFonts w:ascii="Ubuntu" w:cs="Ubuntu" w:eastAsia="Ubuntu" w:hAnsi="Ubuntu"/>
              </w:rPr>
            </w:pPr>
            <w:r w:rsidDel="00000000" w:rsidR="00000000" w:rsidRPr="00000000">
              <w:rPr>
                <w:rFonts w:ascii="Ubuntu" w:cs="Ubuntu" w:eastAsia="Ubuntu" w:hAnsi="Ubuntu"/>
                <w:rtl w:val="0"/>
              </w:rPr>
              <w:t xml:space="preserve">Why was Hitler able to dominate Germany by 1934?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39999999999995" w:right="0" w:firstLine="0"/>
              <w:contextualSpacing w:val="0"/>
              <w:jc w:val="left"/>
              <w:rPr>
                <w:rFonts w:ascii="Ubuntu" w:cs="Ubuntu" w:eastAsia="Ubuntu" w:hAnsi="Ubuntu"/>
              </w:rPr>
            </w:pPr>
            <w:r w:rsidDel="00000000" w:rsidR="00000000" w:rsidRPr="00000000">
              <w:rPr>
                <w:rFonts w:ascii="Ubuntu" w:cs="Ubuntu" w:eastAsia="Ubuntu" w:hAnsi="Ubuntu"/>
                <w:rtl w:val="0"/>
              </w:rPr>
              <w:t xml:space="preserve">The Nazi regime</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tbl>
      <w:tblPr>
        <w:tblStyle w:val="Table3"/>
        <w:tblW w:w="105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90"/>
        <w:tblGridChange w:id="0">
          <w:tblGrid>
            <w:gridCol w:w="10590"/>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pPr>
            <w:bookmarkStart w:colFirst="0" w:colLast="0" w:name="_7wvzw9uk720i" w:id="4"/>
            <w:bookmarkEnd w:id="4"/>
            <w:r w:rsidDel="00000000" w:rsidR="00000000" w:rsidRPr="00000000">
              <w:rPr>
                <w:rtl w:val="0"/>
              </w:rPr>
              <w:t xml:space="preserve">Skills that will be developed: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In addition to developing a comprehensive knowledge of the time periods studied and an understanding of how the events, issues and individuals we consider have shaped and influenced the world we live in today GCSE History students will also expand a number of other skills including:</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an ability for clear expression both written and verbal</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putting forward ideas and arguments in a concise manner</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gathering, investigating and assessing information</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basing conclusions on research</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synthesising original ideas</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organising material in a logical and coherent way</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tbl>
      <w:tblPr>
        <w:tblStyle w:val="Table4"/>
        <w:tblW w:w="106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05"/>
        <w:tblGridChange w:id="0">
          <w:tblGrid>
            <w:gridCol w:w="1060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pPr>
            <w:bookmarkStart w:colFirst="0" w:colLast="0" w:name="_72zqye5ps7s" w:id="5"/>
            <w:bookmarkEnd w:id="5"/>
            <w:r w:rsidDel="00000000" w:rsidR="00000000" w:rsidRPr="00000000">
              <w:rPr>
                <w:rtl w:val="0"/>
              </w:rPr>
              <w:t xml:space="preserve">How the course will be assessed:</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Three written papers.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Paper 1: Students answer 3 questions in 2 hours - 40% overall GCSE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Paper 2: Students answer 6 questions in 2 hours - 33% overall GCSE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Paper 3: Students answer 1 question in 1 hour - 27% overall GCSE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tbl>
      <w:tblPr>
        <w:tblStyle w:val="Table5"/>
        <w:tblW w:w="105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75"/>
        <w:tblGridChange w:id="0">
          <w:tblGrid>
            <w:gridCol w:w="1057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pPr>
            <w:bookmarkStart w:colFirst="0" w:colLast="0" w:name="_v8troh4lx3bd" w:id="6"/>
            <w:bookmarkEnd w:id="6"/>
            <w:r w:rsidDel="00000000" w:rsidR="00000000" w:rsidRPr="00000000">
              <w:rPr>
                <w:rtl w:val="0"/>
              </w:rPr>
              <w:t xml:space="preserve">To be successful: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2.39999999999995"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2.39999999999995" w:firstLine="0"/>
              <w:contextualSpacing w:val="0"/>
              <w:rPr/>
            </w:pPr>
            <w:r w:rsidDel="00000000" w:rsidR="00000000" w:rsidRPr="00000000">
              <w:rPr>
                <w:rtl w:val="0"/>
              </w:rPr>
              <w:t xml:space="preserve">In GCSE History students must have:</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rtl w:val="0"/>
              </w:rPr>
              <w:t xml:space="preserve">An excellent work ethic</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rtl w:val="0"/>
              </w:rPr>
              <w:t xml:space="preserve">A desire to keep on trying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rtl w:val="0"/>
              </w:rPr>
              <w:t xml:space="preserve">An ability to work individually and with others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u w:val="none"/>
              </w:rPr>
            </w:pPr>
            <w:r w:rsidDel="00000000" w:rsidR="00000000" w:rsidRPr="00000000">
              <w:rPr>
                <w:rtl w:val="0"/>
              </w:rPr>
              <w:t xml:space="preserve">(Most importantly!) An interest in the world around them and curiosity about why the world is the way it is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tbl>
      <w:tblPr>
        <w:tblStyle w:val="Table6"/>
        <w:tblW w:w="106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05"/>
        <w:tblGridChange w:id="0">
          <w:tblGrid>
            <w:gridCol w:w="1060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pPr>
            <w:bookmarkStart w:colFirst="0" w:colLast="0" w:name="_8criv3az773x" w:id="7"/>
            <w:bookmarkEnd w:id="7"/>
            <w:r w:rsidDel="00000000" w:rsidR="00000000" w:rsidRPr="00000000">
              <w:rPr>
                <w:rtl w:val="0"/>
              </w:rPr>
              <w:t xml:space="preserve">Onward pathways: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After completing a GCSE in History students can make use of the skills they have developed and expanded in almost any area of life. Students may choose to continue their History career at A-Level and degree level or put to good use the analytical, communication and organisation skills they have developed in any other area of interest they may have.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John F Kennedy, Sacha Baron Cohen, Louis Theroux, Seb Coe, Anita Roddick, Steve Carrell and Shakira all studied History at university, so the options are limitless!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tbl>
      <w:tblPr>
        <w:tblStyle w:val="Table7"/>
        <w:tblW w:w="105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75"/>
        <w:tblGridChange w:id="0">
          <w:tblGrid>
            <w:gridCol w:w="1057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pPr>
            <w:bookmarkStart w:colFirst="0" w:colLast="0" w:name="_qdghkx4terh2" w:id="8"/>
            <w:bookmarkEnd w:id="8"/>
            <w:r w:rsidDel="00000000" w:rsidR="00000000" w:rsidRPr="00000000">
              <w:rPr>
                <w:rtl w:val="0"/>
              </w:rPr>
              <w:t xml:space="preserve">Further information: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Teachers in the History Department (Miss Reid, Mr Dargan, Mrs Sleight, Ms Stringfield and Mrs Hunter) will be pleased to assist with any questions you may have.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You can also visit the History department Twitter page at  </w:t>
            </w:r>
            <w:hyperlink r:id="rId6">
              <w:r w:rsidDel="00000000" w:rsidR="00000000" w:rsidRPr="00000000">
                <w:rPr>
                  <w:rFonts w:ascii="Ubuntu" w:cs="Ubuntu" w:eastAsia="Ubuntu" w:hAnsi="Ubuntu"/>
                  <w:color w:val="1155cc"/>
                  <w:u w:val="single"/>
                  <w:rtl w:val="0"/>
                </w:rPr>
                <w:t xml:space="preserve">https://mobile.twitter.com/snhshistory</w:t>
              </w:r>
            </w:hyperlink>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or visit the Manx History website which shows many of the things we do at St Ninian’s High School</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hyperlink r:id="rId7">
              <w:r w:rsidDel="00000000" w:rsidR="00000000" w:rsidRPr="00000000">
                <w:rPr>
                  <w:rFonts w:ascii="Ubuntu" w:cs="Ubuntu" w:eastAsia="Ubuntu" w:hAnsi="Ubuntu"/>
                  <w:color w:val="1155cc"/>
                  <w:u w:val="single"/>
                  <w:rtl w:val="0"/>
                </w:rPr>
                <w:t xml:space="preserve">http://manxhistory.com/app/#manx_history</w:t>
              </w:r>
            </w:hyperlink>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Further information from the Cambridge Examination Board can be found at: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hyperlink r:id="rId8">
              <w:r w:rsidDel="00000000" w:rsidR="00000000" w:rsidRPr="00000000">
                <w:rPr>
                  <w:rFonts w:ascii="Ubuntu" w:cs="Ubuntu" w:eastAsia="Ubuntu" w:hAnsi="Ubuntu"/>
                  <w:color w:val="1155cc"/>
                  <w:u w:val="single"/>
                  <w:rtl w:val="0"/>
                </w:rPr>
                <w:t xml:space="preserve">http://www.cie.org.uk/images/164358-2016-syllabus.pdf</w:t>
              </w:r>
            </w:hyperlink>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pPr>
      <w:r w:rsidDel="00000000" w:rsidR="00000000" w:rsidRPr="00000000">
        <w:rPr>
          <w:rtl w:val="0"/>
        </w:rPr>
      </w:r>
    </w:p>
    <w:sectPr>
      <w:pgSz w:h="16838" w:w="11906"/>
      <w:pgMar w:bottom="1137.6000000000001" w:top="1137.6000000000001" w:left="1137.6000000000001" w:right="1137.60000000000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line="240" w:lineRule="auto"/>
      <w:contextualSpacing w:val="1"/>
    </w:pPr>
    <w:rPr>
      <w:rFonts w:ascii="Ubuntu" w:cs="Ubuntu" w:eastAsia="Ubuntu" w:hAnsi="Ubuntu"/>
      <w:b w:val="1"/>
      <w:color w:val="cc0000"/>
      <w:sz w:val="28"/>
      <w:szCs w:val="28"/>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line="240" w:lineRule="auto"/>
      <w:ind w:left="32.39999999999995" w:firstLine="0"/>
      <w:contextualSpacing w:val="1"/>
    </w:pPr>
    <w:rPr>
      <w:rFonts w:ascii="Ubuntu" w:cs="Ubuntu" w:eastAsia="Ubuntu" w:hAnsi="Ubuntu"/>
      <w:color w:val="cc0000"/>
      <w:sz w:val="100"/>
      <w:szCs w:val="10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obile.twitter.com/snhshistory" TargetMode="External"/><Relationship Id="rId7" Type="http://schemas.openxmlformats.org/officeDocument/2006/relationships/hyperlink" Target="http://manxhistory.com/app/#manx_history" TargetMode="External"/><Relationship Id="rId8" Type="http://schemas.openxmlformats.org/officeDocument/2006/relationships/hyperlink" Target="http://www.cie.org.uk/images/164358-2016-syllabus.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