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right="-927.6000000000005" w:firstLine="0"/>
        <w:contextualSpacing w:val="0"/>
        <w:rPr>
          <w:b w:val="0"/>
          <w:sz w:val="100"/>
          <w:szCs w:val="100"/>
        </w:rPr>
      </w:pPr>
      <w:bookmarkStart w:colFirst="0" w:colLast="0" w:name="_p1is6oqq3xmg" w:id="0"/>
      <w:bookmarkEnd w:id="0"/>
      <w:r w:rsidDel="00000000" w:rsidR="00000000" w:rsidRPr="00000000">
        <w:rPr>
          <w:b w:val="0"/>
          <w:sz w:val="100"/>
          <w:szCs w:val="100"/>
          <w:rtl w:val="0"/>
        </w:rPr>
        <w:t xml:space="preserve">Health and Social Care</w:t>
      </w:r>
    </w:p>
    <w:p w:rsidR="00000000" w:rsidDel="00000000" w:rsidP="00000000" w:rsidRDefault="00000000" w:rsidRPr="00000000">
      <w:pPr>
        <w:pStyle w:val="Heading2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bookmarkStart w:colFirst="0" w:colLast="0" w:name="_3fhp4y9jrj00" w:id="1"/>
      <w:bookmarkEnd w:id="1"/>
      <w:r w:rsidDel="00000000" w:rsidR="00000000" w:rsidRPr="00000000">
        <w:rPr>
          <w:rtl w:val="0"/>
        </w:rPr>
        <w:t xml:space="preserve">Class of 2018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right="-837.600000000000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rtxiek2jz6yj" w:id="2"/>
            <w:bookmarkEnd w:id="2"/>
            <w:r w:rsidDel="00000000" w:rsidR="00000000" w:rsidRPr="00000000">
              <w:rPr>
                <w:rtl w:val="0"/>
              </w:rPr>
              <w:t xml:space="preserve">Exam board information: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 Pearsons Edexcel BTEC Level 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62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20"/>
        <w:tblGridChange w:id="0">
          <w:tblGrid>
            <w:gridCol w:w="10620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vjmqmv87ihh9" w:id="3"/>
            <w:bookmarkEnd w:id="3"/>
            <w:r w:rsidDel="00000000" w:rsidR="00000000" w:rsidRPr="00000000">
              <w:rPr>
                <w:rtl w:val="0"/>
              </w:rPr>
              <w:t xml:space="preserve">Course content: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Students will cover a broad spectrum of topics ranging from understanding the stages and patterns of human life spans and factors affecting development within human life spans.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Students also study policies and effective communication within the various sectors of  health and social care 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Students  will  learn about health and well being and learn how lifestyles and lifestyle choices affect us.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Healthcare policies within the various settings are also covered.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39999999999995" w:right="0" w:firstLine="0"/>
              <w:contextualSpacing w:val="0"/>
              <w:jc w:val="left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5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90"/>
        <w:tblGridChange w:id="0">
          <w:tblGrid>
            <w:gridCol w:w="10590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esrk1dwpefs2" w:id="4"/>
            <w:bookmarkEnd w:id="4"/>
            <w:r w:rsidDel="00000000" w:rsidR="00000000" w:rsidRPr="00000000">
              <w:rPr>
                <w:rtl w:val="0"/>
              </w:rPr>
              <w:t xml:space="preserve">Skills that will be developed: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• Communication skills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• Powers of analysis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• Critical thinking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• Self discipline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• Empathy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• Independent learning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• Organisation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72zqye5ps7s" w:id="5"/>
            <w:bookmarkEnd w:id="5"/>
            <w:r w:rsidDel="00000000" w:rsidR="00000000" w:rsidRPr="00000000">
              <w:rPr>
                <w:rtl w:val="0"/>
              </w:rPr>
              <w:t xml:space="preserve">How the course will be assessed: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Within the BTEC  Course there are 2 external exams and 6 portfolios to be completed.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4 of these are compulsory and the final 2 are chosen by the student . 180 GLH - Guided learning hours have to be completed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75"/>
        <w:tblGridChange w:id="0">
          <w:tblGrid>
            <w:gridCol w:w="1057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qtg5o0dkuy69" w:id="6"/>
            <w:bookmarkEnd w:id="6"/>
            <w:r w:rsidDel="00000000" w:rsidR="00000000" w:rsidRPr="00000000">
              <w:rPr>
                <w:rtl w:val="0"/>
              </w:rPr>
              <w:t xml:space="preserve">To be successful: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You need to have a keen  interest in the Healthcare sector and be knowledgeable about the various branches of it.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You need to be organised and manage your time effectively.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The first external BTEC exam will be in Jan 2017 therefore a willingness to work hard and revise thoroughly for this will ensure a positive start is made to the course.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6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5"/>
        <w:tblGridChange w:id="0">
          <w:tblGrid>
            <w:gridCol w:w="1060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8criv3az773x" w:id="7"/>
            <w:bookmarkEnd w:id="7"/>
            <w:r w:rsidDel="00000000" w:rsidR="00000000" w:rsidRPr="00000000">
              <w:rPr>
                <w:rtl w:val="0"/>
              </w:rPr>
              <w:t xml:space="preserve">Onward pathways: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0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BTEC Health and Social Care is an ideal qualification for those pupils who want a broad background in health and social care or are considering a career in the Healthcare profession or working with children.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Also,  we are introducing a level 3 BTEC in Health and Social Care from September 2016 , which will allow our students to follow a clear pathway to further develop their skills in this area.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57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575"/>
        <w:tblGridChange w:id="0">
          <w:tblGrid>
            <w:gridCol w:w="10575"/>
          </w:tblGrid>
        </w:tblGridChange>
      </w:tblGrid>
      <w:tr>
        <w:tc>
          <w:tcPr>
            <w:tcBorders>
              <w:top w:color="cc0000" w:space="0" w:sz="8" w:val="single"/>
              <w:left w:color="cc0000" w:space="0" w:sz="8" w:val="single"/>
              <w:bottom w:color="cc0000" w:space="0" w:sz="8" w:val="single"/>
              <w:right w:color="cc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Style w:val="Heading2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/>
            </w:pPr>
            <w:bookmarkStart w:colFirst="0" w:colLast="0" w:name="_qdghkx4terh2" w:id="8"/>
            <w:bookmarkEnd w:id="8"/>
            <w:r w:rsidDel="00000000" w:rsidR="00000000" w:rsidRPr="00000000">
              <w:rPr>
                <w:rtl w:val="0"/>
              </w:rPr>
              <w:t xml:space="preserve">Further information: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Fonts w:ascii="Ubuntu" w:cs="Ubuntu" w:eastAsia="Ubuntu" w:hAnsi="Ubuntu"/>
                <w:rtl w:val="0"/>
              </w:rPr>
              <w:t xml:space="preserve">Mrs A McCusker Health And Social Care teacher or visit the Edexcel /BTEC website</w:t>
            </w:r>
          </w:p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32.39999999999995" w:firstLine="0"/>
              <w:contextualSpacing w:val="0"/>
              <w:rPr>
                <w:rFonts w:ascii="Ubuntu" w:cs="Ubuntu" w:eastAsia="Ubuntu" w:hAnsi="Ubuntu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2.39999999999995" w:firstLine="0"/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7.6000000000001" w:top="1137.6000000000001" w:left="1137.6000000000001" w:right="1137.60000000000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Ubuntu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line="240" w:lineRule="auto"/>
      <w:contextualSpacing w:val="1"/>
    </w:pPr>
    <w:rPr>
      <w:rFonts w:ascii="Ubuntu" w:cs="Ubuntu" w:eastAsia="Ubuntu" w:hAnsi="Ubuntu"/>
      <w:b w:val="1"/>
      <w:color w:val="cc0000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Ubuntu-regular.ttf"/><Relationship Id="rId2" Type="http://schemas.openxmlformats.org/officeDocument/2006/relationships/font" Target="fonts/Ubuntu-bold.ttf"/><Relationship Id="rId3" Type="http://schemas.openxmlformats.org/officeDocument/2006/relationships/font" Target="fonts/Ubuntu-italic.ttf"/><Relationship Id="rId4" Type="http://schemas.openxmlformats.org/officeDocument/2006/relationships/font" Target="fonts/Ubuntu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