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onoj9sani6tt" w:id="0"/>
      <w:bookmarkEnd w:id="0"/>
      <w:r w:rsidDel="00000000" w:rsidR="00000000" w:rsidRPr="00000000">
        <w:rPr>
          <w:rtl w:val="0"/>
        </w:rPr>
        <w:t xml:space="preserve">Music</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2asxxscgd5xv" w:id="2"/>
            <w:bookmarkEnd w:id="2"/>
            <w:r w:rsidDel="00000000" w:rsidR="00000000" w:rsidRPr="00000000">
              <w:rPr>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t xml:space="preserve">Cambridge iGCSE Music (0410)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vjmqmv87ihh9" w:id="3"/>
            <w:bookmarkEnd w:id="3"/>
            <w:r w:rsidDel="00000000" w:rsidR="00000000" w:rsidRPr="00000000">
              <w:rPr>
                <w:rtl w:val="0"/>
              </w:rPr>
              <w:t xml:space="preserve">Course content: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Listening: 40%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Written exam taken in June of Year 11 based on Set Works, Classical and World Music.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Performing: 30%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Two performances - one solo and one ensemble.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Composing: 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Two contrasting compositions in any style for any combination of instruments/voices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bo0lgki6qstr" w:id="4"/>
            <w:bookmarkEnd w:id="4"/>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t xml:space="preserve">Skills that are developed through studying music at this level include perseverance, collaborating with others, confidence and creativity.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t xml:space="preserve">Specific musical skills developed include reading musical notation, understanding of different styles of music both western and non-western, composition and performing.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72zqye5ps7s" w:id="5"/>
            <w:bookmarkEnd w:id="5"/>
            <w:r w:rsidDel="00000000" w:rsidR="00000000" w:rsidRPr="00000000">
              <w:rPr>
                <w:rtl w:val="0"/>
              </w:rPr>
              <w:t xml:space="preserve">How the course will be assessed: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Listening is assessed through a final exam at the end of the course.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Performing is assessed internally and externally moderated by the exam board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Composition is assessed internally and externally moderated by the exam board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l3563ayo4req" w:id="6"/>
            <w:bookmarkEnd w:id="6"/>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You should be able to read music and have a open mind with regards to listening to different styles of music.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You also need to be self-motivated, willing to practice in your own time and be able to work independently in lessons on composition and performing work.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yka2ty6u0q11" w:id="7"/>
            <w:bookmarkEnd w:id="7"/>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Several past pupils who have taken GCSE Music have gone on to study Music or Performing Arts at a higher level and are now enjoying successful careers in the industry. Others have used the skills developed in this subject in other areas such as teaching, event management, recording engineering, advertising and broadcasting.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qdghkx4terh2" w:id="8"/>
            <w:bookmarkEnd w:id="8"/>
            <w:r w:rsidDel="00000000" w:rsidR="00000000" w:rsidRPr="00000000">
              <w:rPr>
                <w:rtl w:val="0"/>
              </w:rPr>
              <w:t xml:space="preserve">Further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Please contact Ms Creer at school.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Further information about the course can be found on the Cambridge site. </w:t>
            </w:r>
            <w:hyperlink r:id="rId6">
              <w:r w:rsidDel="00000000" w:rsidR="00000000" w:rsidRPr="00000000">
                <w:rPr>
                  <w:rFonts w:ascii="Ubuntu" w:cs="Ubuntu" w:eastAsia="Ubuntu" w:hAnsi="Ubuntu"/>
                  <w:color w:val="1155cc"/>
                  <w:u w:val="single"/>
                  <w:rtl w:val="0"/>
                </w:rPr>
                <w:t xml:space="preserve">www.cie.org.uk</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i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